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1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-174625</wp:posOffset>
            </wp:positionH>
            <wp:positionV relativeFrom="paragraph">
              <wp:posOffset>28575</wp:posOffset>
            </wp:positionV>
            <wp:extent cx="6124575" cy="8423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1"/>
        <w:rPr/>
      </w:pPr>
      <w:r>
        <w:rPr/>
      </w:r>
    </w:p>
    <w:tbl>
      <w:tblPr>
        <w:tblW w:w="6360" w:type="dxa"/>
        <w:jc w:val="left"/>
        <w:tblInd w:w="3334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360"/>
      </w:tblGrid>
      <w:tr>
        <w:trPr/>
        <w:tc>
          <w:tcPr>
            <w:tcW w:w="6360" w:type="dxa"/>
            <w:tcBorders/>
            <w:shd w:fill="auto" w:val="clear"/>
          </w:tcPr>
          <w:p>
            <w:pPr>
              <w:pStyle w:val="Style16"/>
              <w:widowControl/>
              <w:suppressLineNumbers/>
              <w:suppressAutoHyphens w:val="true"/>
              <w:bidi w:val="0"/>
              <w:spacing w:lineRule="auto" w:line="240" w:before="0" w:after="120"/>
              <w:ind w:left="0" w:right="0" w:hanging="0"/>
              <w:jc w:val="left"/>
              <w:rPr/>
            </w:pPr>
            <w:r>
              <w:rPr/>
              <w:t>Приложение к приказу №167/2-П от 19.09.2019</w:t>
            </w:r>
          </w:p>
        </w:tc>
      </w:tr>
    </w:tbl>
    <w:p>
      <w:pPr>
        <w:pStyle w:val="NoSpacing"/>
        <w:widowControl w:val="false"/>
        <w:jc w:val="right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</w:p>
    <w:p>
      <w:pPr>
        <w:pStyle w:val="NoSpacing"/>
        <w:widowControl w:val="false"/>
        <w:rPr/>
      </w:pPr>
      <w:r>
        <w:rPr/>
      </w:r>
      <w:bookmarkStart w:id="0" w:name="_GoBack"/>
      <w:bookmarkStart w:id="1" w:name="_GoBack"/>
      <w:bookmarkEnd w:id="1"/>
    </w:p>
    <w:p>
      <w:pPr>
        <w:pStyle w:val="Style15"/>
        <w:spacing w:before="0" w:after="0"/>
        <w:contextualSpacing/>
        <w:rPr/>
      </w:pPr>
      <w:r>
        <w:rPr/>
        <w:t xml:space="preserve">ПОЛИТИКА </w:t>
      </w:r>
    </w:p>
    <w:p>
      <w:pPr>
        <w:pStyle w:val="Style15"/>
        <w:spacing w:before="0" w:after="0"/>
        <w:contextualSpacing/>
        <w:rPr/>
      </w:pPr>
      <w:r>
        <w:rPr/>
        <w:t>(инструкция)</w:t>
      </w:r>
    </w:p>
    <w:p>
      <w:pPr>
        <w:pStyle w:val="Style15"/>
        <w:spacing w:before="0" w:after="0"/>
        <w:contextualSpacing/>
        <w:rPr/>
      </w:pPr>
      <w:r>
        <w:rPr/>
        <w:t xml:space="preserve">обработке персональных данных </w:t>
      </w:r>
    </w:p>
    <w:p>
      <w:pPr>
        <w:pStyle w:val="Style15"/>
        <w:spacing w:before="0" w:after="0"/>
        <w:contextualSpacing/>
        <w:rPr/>
      </w:pPr>
      <w:r>
        <w:rPr/>
        <w:t>в МБОУ ДО СЮТ г.Туапсе</w:t>
      </w:r>
    </w:p>
    <w:p>
      <w:pPr>
        <w:pStyle w:val="Normal"/>
        <w:rPr/>
      </w:pPr>
      <w:r>
        <w:rPr/>
      </w:r>
    </w:p>
    <w:p>
      <w:pPr>
        <w:pStyle w:val="1"/>
        <w:keepLines w:val="false"/>
        <w:widowControl w:val="false"/>
        <w:numPr>
          <w:ilvl w:val="0"/>
          <w:numId w:val="1"/>
        </w:numPr>
        <w:tabs>
          <w:tab w:val="clear" w:pos="709"/>
          <w:tab w:val="left" w:pos="567" w:leader="none"/>
        </w:tabs>
        <w:spacing w:before="0" w:after="0"/>
        <w:jc w:val="center"/>
        <w:rPr/>
      </w:pPr>
      <w:r>
        <w:rPr>
          <w:lang w:val="ru-RU"/>
        </w:rPr>
        <w:t>Общие положения</w:t>
      </w:r>
    </w:p>
    <w:p>
      <w:pPr>
        <w:pStyle w:val="1"/>
        <w:widowControl w:val="false"/>
        <w:numPr>
          <w:ilvl w:val="0"/>
          <w:numId w:val="1"/>
        </w:numPr>
        <w:tabs>
          <w:tab w:val="clear" w:pos="709"/>
          <w:tab w:val="left" w:pos="567" w:leader="none"/>
        </w:tabs>
        <w:spacing w:before="0" w:after="0"/>
        <w:jc w:val="center"/>
        <w:rPr>
          <w:lang w:val="ru-RU"/>
        </w:rPr>
      </w:pPr>
      <w:r>
        <w:rPr>
          <w:lang w:val="ru-RU"/>
        </w:rPr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57" w:right="0" w:hanging="57"/>
        <w:jc w:val="both"/>
        <w:outlineLvl w:val="1"/>
        <w:rPr/>
      </w:pPr>
      <w:r>
        <w:rPr/>
        <w:tab/>
        <w:tab/>
      </w:r>
      <w:bookmarkStart w:id="2" w:name="орг_ип"/>
      <w:r>
        <w:rPr/>
        <w:t>1</w:t>
      </w:r>
      <w:bookmarkEnd w:id="2"/>
      <w:r>
        <w:rPr/>
        <w:t xml:space="preserve">. Администрация муниципального бюджетного образовательного учреждения  дополнительного образования Станция юных техников г.Туапсе Туапсинский район (далее – </w:t>
      </w:r>
      <w:bookmarkStart w:id="3" w:name="__DdeLink__4111_2849447268"/>
      <w:r>
        <w:rPr/>
        <w:t>МБОУ ДО СЮТ г.Туапсе</w:t>
      </w:r>
      <w:bookmarkEnd w:id="3"/>
      <w:r>
        <w:rPr/>
        <w:t>) осуществляет обработку персональных данных на законной и справедливой основе.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57" w:right="0" w:hanging="57"/>
        <w:jc w:val="both"/>
        <w:outlineLvl w:val="1"/>
        <w:rPr/>
      </w:pPr>
      <w:r>
        <w:rPr/>
        <w:tab/>
        <w:tab/>
        <w:t xml:space="preserve"> 2. Все персональные данные администрация получает напрямую от субъектов либо от их законных представителей.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0" w:hanging="0"/>
        <w:jc w:val="both"/>
        <w:outlineLvl w:val="1"/>
        <w:rPr/>
      </w:pPr>
      <w:r>
        <w:rPr/>
        <w:tab/>
        <w:t xml:space="preserve"> 3. Объём, содержание и сроки обработки персональных данных определяются целями обработки персональных данных. После достижения целей обработки персональных данных, персональные данные подлежат обязательному уничтожению (обезличиванию), если иное не установлено федеральным законом, либо договором с субъектом.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0" w:hanging="0"/>
        <w:jc w:val="both"/>
        <w:outlineLvl w:val="1"/>
        <w:rPr/>
      </w:pPr>
      <w:r>
        <w:rPr/>
        <w:tab/>
        <w:t>4. МБОУ ДО СЮТ г.Туапсе  имеет право на доступ к своим персональным данным, на уничтожение ошибочных и (или) уточнение неполных персональных данных.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right="0" w:hanging="0"/>
        <w:jc w:val="both"/>
        <w:outlineLvl w:val="1"/>
        <w:rPr/>
      </w:pPr>
      <w:r>
        <w:rPr/>
        <w:tab/>
        <w:t>5.  МБОУ ДО СЮТ г.Туапсе  оставляет за собой право проверить полноту и точность предоставленных персональных данных. В случае выявления ошибочных или неполных персональных данных, администрация имеет право прекратить все отношения с субъектом персональных данных.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-49" w:right="0" w:hanging="0"/>
        <w:jc w:val="both"/>
        <w:outlineLvl w:val="1"/>
        <w:rPr/>
      </w:pPr>
      <w:r>
        <w:rPr/>
        <w:tab/>
        <w:tab/>
        <w:t>6. МБОУ ДО СЮТ г.Туапсе не передаёт персональные данные субъектов персональных данных третьим лицам, за исключением случаев, когда подобная передача вызвана исполнением договора с субъектом персональных данных, федеральным законом.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8" w:right="0" w:hanging="0"/>
        <w:jc w:val="both"/>
        <w:outlineLvl w:val="1"/>
        <w:rPr/>
      </w:pPr>
      <w:r>
        <w:rPr/>
        <w:tab/>
        <w:t xml:space="preserve">7. </w:t>
      </w:r>
      <w:bookmarkStart w:id="4" w:name="__DdeLink__4173_2849447268"/>
      <w:r>
        <w:rPr/>
        <w:t xml:space="preserve">МБОУ ДО СЮТ г.Туапсе </w:t>
      </w:r>
      <w:bookmarkEnd w:id="4"/>
      <w:r>
        <w:rPr/>
        <w:t xml:space="preserve"> обязуется соблюдать конфиденциальность персональных данных, принимать правовые, организационные и технические меры по защите персональных данных, а так же требовать принятия указанных мер от своих контрагентов и организаций, которым в процессе своей деятельности администрация предоставила доступ к обрабатываемым персональным данным.</w:t>
      </w:r>
    </w:p>
    <w:p>
      <w:pPr>
        <w:pStyle w:val="1"/>
        <w:keepLines w:val="false"/>
        <w:widowControl w:val="false"/>
        <w:numPr>
          <w:ilvl w:val="0"/>
          <w:numId w:val="1"/>
        </w:numPr>
        <w:tabs>
          <w:tab w:val="clear" w:pos="709"/>
          <w:tab w:val="left" w:pos="567" w:leader="none"/>
        </w:tabs>
        <w:spacing w:before="0" w:after="0"/>
        <w:rPr>
          <w:lang w:val="ru-RU"/>
        </w:rPr>
      </w:pPr>
      <w:r>
        <w:rPr>
          <w:lang w:val="ru-RU"/>
        </w:rPr>
      </w:r>
    </w:p>
    <w:p>
      <w:pPr>
        <w:pStyle w:val="1"/>
        <w:widowControl w:val="false"/>
        <w:numPr>
          <w:ilvl w:val="0"/>
          <w:numId w:val="1"/>
        </w:numPr>
        <w:tabs>
          <w:tab w:val="clear" w:pos="709"/>
          <w:tab w:val="left" w:pos="567" w:leader="none"/>
        </w:tabs>
        <w:spacing w:before="0" w:after="0"/>
        <w:jc w:val="left"/>
        <w:rPr/>
      </w:pPr>
      <w:r>
        <w:rPr>
          <w:lang w:val="ru-RU"/>
        </w:rPr>
        <w:t xml:space="preserve">Требования по защите персональных данных </w:t>
      </w:r>
    </w:p>
    <w:p>
      <w:pPr>
        <w:pStyle w:val="1"/>
        <w:widowControl w:val="false"/>
        <w:numPr>
          <w:ilvl w:val="0"/>
          <w:numId w:val="1"/>
        </w:numPr>
        <w:tabs>
          <w:tab w:val="clear" w:pos="709"/>
          <w:tab w:val="left" w:pos="567" w:leader="none"/>
        </w:tabs>
        <w:spacing w:before="0" w:after="0"/>
        <w:jc w:val="left"/>
        <w:rPr>
          <w:lang w:val="ru-RU"/>
        </w:rPr>
      </w:pPr>
      <w:r>
        <w:rPr>
          <w:lang w:val="ru-RU"/>
        </w:rPr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-57" w:right="0" w:hanging="0"/>
        <w:jc w:val="left"/>
        <w:outlineLvl w:val="1"/>
        <w:rPr/>
      </w:pPr>
      <w:r>
        <w:rPr/>
        <w:tab/>
        <w:tab/>
        <w:t xml:space="preserve">1. Доступ к персональным данным регламентирован внутренними документами </w:t>
      </w:r>
      <w:bookmarkStart w:id="5" w:name="орг_рп"/>
      <w:r>
        <w:rPr/>
        <w:t>администрации</w:t>
      </w:r>
      <w:bookmarkEnd w:id="5"/>
      <w:r>
        <w:rPr/>
        <w:t xml:space="preserve"> и предоставляется сотрудниками  МБОУ ДО СЮТ г.Туапсе в соответствии с приказом № 167/2 П от 19. 09.2019г «О назначении ответственных лиц за работу с персональными данными в МБОУ ДО СЮТ г.Туапсе»</w:t>
      </w:r>
    </w:p>
    <w:p>
      <w:pPr>
        <w:pStyle w:val="2"/>
        <w:keepNext w:val="true"/>
        <w:keepLines w:val="false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0" w:hanging="0"/>
        <w:jc w:val="both"/>
        <w:outlineLvl w:val="1"/>
        <w:rPr/>
      </w:pPr>
      <w:r>
        <w:rPr/>
        <w:tab/>
        <w:t>2. МБОУ ДО СЮТ г.Туапсе МО Туапсинский район принимает необходимые технические и организационные меры по недопущению кражи, либо утечки персональных данных.</w:t>
      </w:r>
    </w:p>
    <w:p>
      <w:pPr>
        <w:pStyle w:val="Normal"/>
        <w:widowControl w:val="false"/>
        <w:spacing w:before="0" w:after="0"/>
        <w:ind w:hanging="0"/>
        <w:rPr/>
      </w:pPr>
      <w:r>
        <w:rPr/>
      </w:r>
    </w:p>
    <w:p>
      <w:pPr>
        <w:pStyle w:val="Normal"/>
        <w:widowControl w:val="false"/>
        <w:spacing w:before="0" w:after="0"/>
        <w:ind w:hanging="0"/>
        <w:rPr/>
      </w:pPr>
      <w:r>
        <w:rPr/>
      </w:r>
    </w:p>
    <w:p>
      <w:pPr>
        <w:pStyle w:val="Normal"/>
        <w:widowControl w:val="false"/>
        <w:spacing w:before="0" w:after="0"/>
        <w:ind w:hanging="0"/>
        <w:rPr/>
      </w:pPr>
      <w:r>
        <w:rPr/>
      </w:r>
    </w:p>
    <w:p>
      <w:pPr>
        <w:pStyle w:val="Normal"/>
        <w:widowControl w:val="false"/>
        <w:spacing w:before="0" w:after="0"/>
        <w:ind w:hanging="0"/>
        <w:rPr/>
      </w:pPr>
      <w:r>
        <w:rPr/>
      </w:r>
    </w:p>
    <w:sectPr>
      <w:type w:val="nextPage"/>
      <w:pgSz w:w="11906" w:h="16838"/>
      <w:pgMar w:left="1701" w:right="56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1848" w:hanging="432"/>
      </w:pPr>
    </w:lvl>
    <w:lvl w:ilvl="1">
      <w:start w:val="1"/>
      <w:numFmt w:val="decimal"/>
      <w:lvlText w:val="%2"/>
      <w:lvlJc w:val="left"/>
      <w:pPr>
        <w:ind w:left="1992" w:hanging="576"/>
      </w:pPr>
    </w:lvl>
    <w:lvl w:ilvl="2">
      <w:start w:val="1"/>
      <w:numFmt w:val="decimal"/>
      <w:lvlText w:val="%2.%3"/>
      <w:lvlJc w:val="left"/>
      <w:pPr>
        <w:ind w:left="2136" w:hanging="720"/>
      </w:pPr>
    </w:lvl>
    <w:lvl w:ilvl="3">
      <w:start w:val="1"/>
      <w:numFmt w:val="decimal"/>
      <w:lvlText w:val="%2.%3.%4"/>
      <w:lvlJc w:val="left"/>
      <w:pPr>
        <w:ind w:left="2280" w:hanging="864"/>
      </w:pPr>
    </w:lvl>
    <w:lvl w:ilvl="4">
      <w:start w:val="1"/>
      <w:numFmt w:val="decimal"/>
      <w:lvlText w:val="%2.%3.%4.%5"/>
      <w:lvlJc w:val="left"/>
      <w:pPr>
        <w:ind w:left="2424" w:hanging="1008"/>
      </w:pPr>
    </w:lvl>
    <w:lvl w:ilvl="5">
      <w:start w:val="1"/>
      <w:numFmt w:val="decimal"/>
      <w:lvlText w:val="%2.%3.%4.%5.%6"/>
      <w:lvlJc w:val="left"/>
      <w:pPr>
        <w:ind w:left="2568" w:hanging="1152"/>
      </w:pPr>
    </w:lvl>
    <w:lvl w:ilvl="6">
      <w:start w:val="1"/>
      <w:numFmt w:val="decimal"/>
      <w:lvlText w:val="%2.%3.%4.%5.%6.%7"/>
      <w:lvlJc w:val="left"/>
      <w:pPr>
        <w:ind w:left="2712" w:hanging="1296"/>
      </w:pPr>
    </w:lvl>
    <w:lvl w:ilvl="7">
      <w:start w:val="1"/>
      <w:numFmt w:val="decimal"/>
      <w:lvlText w:val="%2.%3.%4.%5.%6.%7.%8"/>
      <w:lvlJc w:val="left"/>
      <w:pPr>
        <w:ind w:left="2856" w:hanging="1440"/>
      </w:pPr>
    </w:lvl>
    <w:lvl w:ilvl="8">
      <w:start w:val="1"/>
      <w:numFmt w:val="decimal"/>
      <w:lvlText w:val="%2.%3.%4.%5.%6.%7.%8.%9"/>
      <w:lvlJc w:val="left"/>
      <w:pPr>
        <w:ind w:left="3000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Calibr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a7dcd"/>
    <w:pPr>
      <w:widowControl/>
      <w:suppressAutoHyphens w:val="true"/>
      <w:bidi w:val="0"/>
      <w:spacing w:lineRule="auto" w:line="240" w:before="0" w:after="120"/>
      <w:ind w:firstLine="709"/>
      <w:jc w:val="both"/>
    </w:pPr>
    <w:rPr>
      <w:rFonts w:ascii="Times New Roman" w:hAnsi="Times New Roman" w:eastAsia="Droid Sans Fallback" w:cs="Calibri"/>
      <w:color w:val="00000A"/>
      <w:kern w:val="0"/>
      <w:sz w:val="28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8a7dcd"/>
    <w:pPr>
      <w:keepNext w:val="true"/>
      <w:keepLines/>
      <w:spacing w:before="120" w:after="120"/>
      <w:ind w:hanging="0"/>
      <w:jc w:val="center"/>
      <w:outlineLvl w:val="0"/>
    </w:pPr>
    <w:rPr>
      <w:b/>
      <w:bCs/>
      <w:szCs w:val="28"/>
      <w:lang w:val="en-US"/>
    </w:rPr>
  </w:style>
  <w:style w:type="paragraph" w:styleId="2">
    <w:name w:val="Heading 2"/>
    <w:basedOn w:val="Normal"/>
    <w:link w:val="20"/>
    <w:uiPriority w:val="9"/>
    <w:unhideWhenUsed/>
    <w:qFormat/>
    <w:rsid w:val="008a7dcd"/>
    <w:pPr>
      <w:keepNext w:val="true"/>
      <w:keepLines/>
      <w:outlineLvl w:val="1"/>
    </w:pPr>
    <w:rPr>
      <w:rFonts w:cs="Times New Roman"/>
      <w:bCs/>
      <w:szCs w:val="28"/>
    </w:rPr>
  </w:style>
  <w:style w:type="paragraph" w:styleId="3">
    <w:name w:val="Heading 3"/>
    <w:basedOn w:val="Normal"/>
    <w:link w:val="30"/>
    <w:uiPriority w:val="9"/>
    <w:semiHidden/>
    <w:unhideWhenUsed/>
    <w:qFormat/>
    <w:rsid w:val="008a7dcd"/>
    <w:pPr>
      <w:keepNext w:val="true"/>
      <w:keepLines/>
      <w:outlineLvl w:val="2"/>
    </w:pPr>
    <w:rPr>
      <w:bCs/>
    </w:rPr>
  </w:style>
  <w:style w:type="paragraph" w:styleId="4">
    <w:name w:val="Heading 4"/>
    <w:basedOn w:val="Normal"/>
    <w:link w:val="40"/>
    <w:uiPriority w:val="9"/>
    <w:semiHidden/>
    <w:unhideWhenUsed/>
    <w:qFormat/>
    <w:rsid w:val="00fb177b"/>
    <w:pPr>
      <w:keepNext w:val="true"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Normal"/>
    <w:link w:val="50"/>
    <w:uiPriority w:val="9"/>
    <w:semiHidden/>
    <w:unhideWhenUsed/>
    <w:qFormat/>
    <w:rsid w:val="00fb177b"/>
    <w:pPr>
      <w:keepNext w:val="true"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Normal"/>
    <w:link w:val="60"/>
    <w:uiPriority w:val="9"/>
    <w:semiHidden/>
    <w:unhideWhenUsed/>
    <w:qFormat/>
    <w:rsid w:val="00fb177b"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Normal"/>
    <w:link w:val="70"/>
    <w:uiPriority w:val="9"/>
    <w:semiHidden/>
    <w:unhideWhenUsed/>
    <w:qFormat/>
    <w:rsid w:val="00fb177b"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Normal"/>
    <w:link w:val="80"/>
    <w:uiPriority w:val="9"/>
    <w:semiHidden/>
    <w:unhideWhenUsed/>
    <w:qFormat/>
    <w:rsid w:val="00fb177b"/>
    <w:pPr>
      <w:keepNext w:val="true"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Normal"/>
    <w:link w:val="90"/>
    <w:uiPriority w:val="9"/>
    <w:semiHidden/>
    <w:unhideWhenUsed/>
    <w:qFormat/>
    <w:rsid w:val="00fb177b"/>
    <w:pPr>
      <w:keepNext w:val="true"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a7dcd"/>
    <w:rPr>
      <w:rFonts w:ascii="Times New Roman" w:hAnsi="Times New Roman"/>
      <w:b/>
      <w:bCs/>
      <w:sz w:val="28"/>
      <w:szCs w:val="28"/>
      <w:lang w:val="en-US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a7dcd"/>
    <w:rPr>
      <w:rFonts w:ascii="Times New Roman" w:hAnsi="Times New Roman" w:cs="Times New Roman"/>
      <w:bCs/>
      <w:sz w:val="28"/>
      <w:szCs w:val="28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8a7dcd"/>
    <w:rPr>
      <w:rFonts w:ascii="Times New Roman" w:hAnsi="Times New Roman"/>
      <w:bCs/>
      <w:sz w:val="28"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fb177b"/>
    <w:rPr>
      <w:rFonts w:ascii="Cambria" w:hAnsi="Cambria"/>
      <w:b/>
      <w:bCs/>
      <w:i/>
      <w:iCs/>
      <w:color w:val="4F81BD"/>
      <w:sz w:val="28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fb177b"/>
    <w:rPr>
      <w:rFonts w:ascii="Cambria" w:hAnsi="Cambria"/>
      <w:color w:val="243F60"/>
      <w:sz w:val="28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fb177b"/>
    <w:rPr>
      <w:rFonts w:ascii="Cambria" w:hAnsi="Cambria"/>
      <w:i/>
      <w:iCs/>
      <w:color w:val="243F60"/>
      <w:sz w:val="28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fb177b"/>
    <w:rPr>
      <w:rFonts w:ascii="Cambria" w:hAnsi="Cambria"/>
      <w:i/>
      <w:iCs/>
      <w:color w:val="404040"/>
      <w:sz w:val="28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fb177b"/>
    <w:rPr>
      <w:rFonts w:ascii="Cambria" w:hAnsi="Cambria"/>
      <w:color w:val="404040"/>
      <w:sz w:val="20"/>
      <w:szCs w:val="20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fb177b"/>
    <w:rPr>
      <w:rFonts w:ascii="Cambria" w:hAnsi="Cambria"/>
      <w:i/>
      <w:iCs/>
      <w:color w:val="404040"/>
      <w:sz w:val="20"/>
      <w:szCs w:val="20"/>
    </w:rPr>
  </w:style>
  <w:style w:type="character" w:styleId="Style5" w:customStyle="1">
    <w:name w:val="Название Знак"/>
    <w:basedOn w:val="DefaultParagraphFont"/>
    <w:uiPriority w:val="10"/>
    <w:qFormat/>
    <w:rsid w:val="00ad4afb"/>
    <w:rPr>
      <w:rFonts w:ascii="Times New Roman" w:hAnsi="Times New Roman"/>
      <w:b/>
      <w:spacing w:val="5"/>
      <w:sz w:val="28"/>
      <w:szCs w:val="52"/>
    </w:rPr>
  </w:style>
  <w:style w:type="character" w:styleId="Style6" w:customStyle="1">
    <w:name w:val="Текст выноски Знак"/>
    <w:basedOn w:val="DefaultParagraphFont"/>
    <w:uiPriority w:val="99"/>
    <w:semiHidden/>
    <w:qFormat/>
    <w:rsid w:val="003e73af"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d1077"/>
    <w:rPr>
      <w:sz w:val="16"/>
      <w:szCs w:val="16"/>
    </w:rPr>
  </w:style>
  <w:style w:type="character" w:styleId="Style7" w:customStyle="1">
    <w:name w:val="Текст примечания Знак"/>
    <w:basedOn w:val="DefaultParagraphFont"/>
    <w:uiPriority w:val="99"/>
    <w:semiHidden/>
    <w:qFormat/>
    <w:rsid w:val="002d1077"/>
    <w:rPr>
      <w:rFonts w:ascii="Times New Roman" w:hAnsi="Times New Roman"/>
      <w:sz w:val="20"/>
      <w:szCs w:val="20"/>
    </w:rPr>
  </w:style>
  <w:style w:type="character" w:styleId="Style8" w:customStyle="1">
    <w:name w:val="Тема примечания Знак"/>
    <w:basedOn w:val="Style7"/>
    <w:uiPriority w:val="99"/>
    <w:semiHidden/>
    <w:qFormat/>
    <w:rsid w:val="002d1077"/>
    <w:rPr>
      <w:rFonts w:ascii="Times New Roman" w:hAnsi="Times New Roman"/>
      <w:b/>
      <w:bCs/>
      <w:sz w:val="20"/>
      <w:szCs w:val="20"/>
    </w:rPr>
  </w:style>
  <w:style w:type="character" w:styleId="Style9">
    <w:name w:val="Маркеры списка"/>
    <w:qFormat/>
    <w:rPr>
      <w:rFonts w:ascii="OpenSymbol" w:hAnsi="OpenSymbol" w:eastAsia="OpenSymbol" w:cs="OpenSymbol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1">
    <w:name w:val="Body Text"/>
    <w:basedOn w:val="Normal"/>
    <w:pPr>
      <w:spacing w:lineRule="auto" w:line="288" w:before="0" w:after="140"/>
    </w:pPr>
    <w:rPr/>
  </w:style>
  <w:style w:type="paragraph" w:styleId="Style12">
    <w:name w:val="List"/>
    <w:basedOn w:val="Style11"/>
    <w:pPr/>
    <w:rPr>
      <w:rFonts w:cs="FreeSans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Mangal"/>
    </w:rPr>
  </w:style>
  <w:style w:type="paragraph" w:styleId="Style15">
    <w:name w:val="Title"/>
    <w:basedOn w:val="Normal"/>
    <w:autoRedefine/>
    <w:uiPriority w:val="10"/>
    <w:qFormat/>
    <w:rsid w:val="00ad4afb"/>
    <w:pPr>
      <w:widowControl w:val="false"/>
      <w:spacing w:before="0" w:after="120"/>
      <w:ind w:hanging="0"/>
      <w:contextualSpacing/>
      <w:jc w:val="center"/>
    </w:pPr>
    <w:rPr>
      <w:b/>
      <w:spacing w:val="5"/>
      <w:szCs w:val="5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FreeSans"/>
    </w:rPr>
  </w:style>
  <w:style w:type="paragraph" w:styleId="NoSpacing">
    <w:name w:val="No Spacing"/>
    <w:uiPriority w:val="1"/>
    <w:qFormat/>
    <w:rsid w:val="00fb177b"/>
    <w:pPr>
      <w:widowControl/>
      <w:suppressAutoHyphens w:val="true"/>
      <w:bidi w:val="0"/>
      <w:spacing w:lineRule="auto" w:line="240"/>
      <w:jc w:val="left"/>
    </w:pPr>
    <w:rPr>
      <w:rFonts w:ascii="Times New Roman" w:hAnsi="Times New Roman" w:eastAsia="Droid Sans Fallback" w:cs="Calibri"/>
      <w:color w:val="00000A"/>
      <w:kern w:val="0"/>
      <w:sz w:val="28"/>
      <w:szCs w:val="22"/>
      <w:lang w:val="ru-RU" w:eastAsia="ru-RU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3e73af"/>
    <w:pPr>
      <w:spacing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73af"/>
    <w:pPr>
      <w:spacing w:before="0" w:after="120"/>
      <w:ind w:left="720" w:firstLine="709"/>
      <w:contextualSpacing/>
    </w:pPr>
    <w:rPr/>
  </w:style>
  <w:style w:type="paragraph" w:styleId="Annotationtext">
    <w:name w:val="annotation text"/>
    <w:basedOn w:val="Normal"/>
    <w:uiPriority w:val="99"/>
    <w:semiHidden/>
    <w:unhideWhenUsed/>
    <w:qFormat/>
    <w:rsid w:val="002d1077"/>
    <w:pPr/>
    <w:rPr>
      <w:sz w:val="20"/>
      <w:szCs w:val="20"/>
    </w:rPr>
  </w:style>
  <w:style w:type="paragraph" w:styleId="Annotationsubject">
    <w:name w:val="annotation subject"/>
    <w:basedOn w:val="Annotationtext"/>
    <w:uiPriority w:val="99"/>
    <w:semiHidden/>
    <w:unhideWhenUsed/>
    <w:qFormat/>
    <w:rsid w:val="002d1077"/>
    <w:pPr/>
    <w:rPr>
      <w:b/>
      <w:bCs/>
    </w:rPr>
  </w:style>
  <w:style w:type="paragraph" w:styleId="Style16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rsid w:val="00776dda"/>
    <w:pPr>
      <w:spacing w:line="240" w:lineRule="auto"/>
    </w:pPr>
    <w:rPr>
      <w:sz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2">
    <w:name w:val="Light Shading Accent 2"/>
    <w:basedOn w:val="a1"/>
    <w:uiPriority w:val="60"/>
    <w:rsid w:val="00776dda"/>
    <w:pPr>
      <w:spacing w:line="240" w:lineRule="auto"/>
    </w:pPr>
    <w:rPr>
      <w:sz w:val="28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76dda"/>
    <w:pPr>
      <w:spacing w:line="240" w:lineRule="auto"/>
    </w:pPr>
    <w:rPr>
      <w:sz w:val="28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776dda"/>
    <w:pPr>
      <w:spacing w:line="240" w:lineRule="auto"/>
    </w:pPr>
    <w:rPr>
      <w:sz w:val="28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776dda"/>
    <w:pPr>
      <w:spacing w:line="240" w:lineRule="auto"/>
    </w:pPr>
    <w:rPr>
      <w:sz w:val="28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LibreOffice/6.3.2.2$Windows_X86_64 LibreOffice_project/98b30e735bda24bc04ab42594c85f7fd8be07b9c</Application>
  <Pages>3</Pages>
  <Words>290</Words>
  <Characters>1998</Characters>
  <CharactersWithSpaces>2297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2013-03-19T07:49:00Z</dcterms:created>
  <dc:creator>Artiom</dc:creator>
  <dc:description/>
  <dc:language>ru-RU</dc:language>
  <cp:lastModifiedBy/>
  <cp:lastPrinted>2020-04-29T07:57:37Z</cp:lastPrinted>
  <dcterms:modified xsi:type="dcterms:W3CDTF">2020-04-29T10:15:15Z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